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8E" w:rsidRPr="003C2C34" w:rsidRDefault="0003298E" w:rsidP="0003298E">
      <w:pPr>
        <w:tabs>
          <w:tab w:val="left" w:pos="5865"/>
        </w:tabs>
        <w:ind w:left="0"/>
        <w:jc w:val="left"/>
        <w:rPr>
          <w:lang w:val="ro-RO"/>
        </w:rPr>
      </w:pPr>
      <w:r w:rsidRPr="003C2C34">
        <w:rPr>
          <w:lang w:val="ro-RO"/>
        </w:rPr>
        <w:t xml:space="preserve">                                                                         </w:t>
      </w:r>
    </w:p>
    <w:p w:rsidR="0003298E" w:rsidRDefault="0003298E" w:rsidP="00BB1884">
      <w:pPr>
        <w:ind w:left="0"/>
        <w:rPr>
          <w:lang w:val="ro-RO"/>
        </w:rPr>
      </w:pPr>
    </w:p>
    <w:p w:rsidR="00642BA3" w:rsidRPr="003C2C34" w:rsidRDefault="00642BA3" w:rsidP="0003298E">
      <w:pPr>
        <w:rPr>
          <w:lang w:val="ro-RO"/>
        </w:rPr>
      </w:pPr>
      <w:bookmarkStart w:id="0" w:name="_GoBack"/>
      <w:bookmarkEnd w:id="0"/>
    </w:p>
    <w:p w:rsidR="006E7FBA" w:rsidRPr="00B82B71" w:rsidRDefault="006E7FBA" w:rsidP="006E7FBA">
      <w:pPr>
        <w:spacing w:after="0"/>
        <w:ind w:left="142"/>
        <w:rPr>
          <w:b/>
          <w:u w:val="single"/>
          <w:lang w:val="ro-RO"/>
        </w:rPr>
      </w:pPr>
      <w:r w:rsidRPr="00B82B71">
        <w:rPr>
          <w:u w:val="single"/>
          <w:lang w:val="ro-RO"/>
        </w:rPr>
        <w:t xml:space="preserve"> </w:t>
      </w:r>
      <w:r w:rsidRPr="00B82B71">
        <w:rPr>
          <w:b/>
          <w:u w:val="single"/>
          <w:lang w:val="ro-RO"/>
        </w:rPr>
        <w:t>Bibliografie propusă:</w:t>
      </w:r>
    </w:p>
    <w:p w:rsidR="006E7FBA" w:rsidRPr="003411C0" w:rsidRDefault="006E7FBA" w:rsidP="006E7FBA">
      <w:pPr>
        <w:pStyle w:val="ListParagraph"/>
        <w:numPr>
          <w:ilvl w:val="0"/>
          <w:numId w:val="40"/>
        </w:numPr>
        <w:rPr>
          <w:rFonts w:ascii="Trebuchet MS" w:hAnsi="Trebuchet MS"/>
          <w:lang w:val="ro-RO"/>
        </w:rPr>
      </w:pPr>
      <w:r w:rsidRPr="003411C0">
        <w:rPr>
          <w:rFonts w:ascii="Trebuchet MS" w:hAnsi="Trebuchet MS"/>
          <w:lang w:val="ro-RO"/>
        </w:rPr>
        <w:t>Constituția  României;</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 xml:space="preserve">Legea nr. 188/1999 privind Statutul funcţionarilor publici; </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Legea nr. 544/2001 privind liberul acces la informaţiile de interes public;</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Legea nr. 233/2002 pentru aprobarea Ordonanţei Guvernului nr. 27/2002 privind reglementarea activităţii de soluţionare a petiţiilor;</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Legea nr. 7/2004 privind Codul de conduită a funcţionarilor publici, republicată;</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Legea nr. 318/2015 pentru înfiinţarea, organizarea şi funcţionarea Agenţiei Naţionale de Administrare a Bunurilor Indisponibilizate şi pentru modificarea şi completarea unor acte normative;</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216/2016 privind stabilirea destinaţiei unor bunuri imobile confiscate;</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207/2015 privind Codul de procedură fiscală;</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227/2015 privind Codul fiscal;</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286/2009 privind Codul penal;</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135/2010 privind Codul de procedură penală;</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287/2009 privind Noul Cod civil;</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134/2010 privind Codul de procedura civilă;</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86/2006 privind Codul vamal al României;</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500/2002 privind finanțele publice;</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554/2004 privind contenciosul administrativ;</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302/2004 privind cooperarea judiciară internaţională în materie penală;</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241/2005 privind prevenirea și combaterea evaziunii fiscale;</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 xml:space="preserve">Legea nr. 656/2002 pentru prevenirea si </w:t>
      </w:r>
      <w:r w:rsidR="00642BA3" w:rsidRPr="003411C0">
        <w:rPr>
          <w:rFonts w:ascii="Trebuchet MS" w:hAnsi="Trebuchet MS"/>
          <w:lang w:val="ro-RO"/>
        </w:rPr>
        <w:t>sancționarea</w:t>
      </w:r>
      <w:r w:rsidRPr="003411C0">
        <w:rPr>
          <w:rFonts w:ascii="Trebuchet MS" w:hAnsi="Trebuchet MS"/>
          <w:lang w:val="ro-RO"/>
        </w:rPr>
        <w:t xml:space="preserve"> spălarii banilor, precum si pentru instituirea unor măsuri de prevenire și combatere a finanțării actelor de terorism;</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Legea nr. 98/2016 privind achiziţiile publice;</w:t>
      </w:r>
    </w:p>
    <w:p w:rsidR="00B00CF9" w:rsidRPr="003411C0" w:rsidRDefault="00B00CF9" w:rsidP="00B00CF9">
      <w:pPr>
        <w:pStyle w:val="ListParagraph"/>
        <w:numPr>
          <w:ilvl w:val="0"/>
          <w:numId w:val="40"/>
        </w:numPr>
        <w:rPr>
          <w:rFonts w:ascii="Trebuchet MS" w:hAnsi="Trebuchet MS"/>
          <w:lang w:val="ro-RO"/>
        </w:rPr>
      </w:pPr>
      <w:r w:rsidRPr="003411C0">
        <w:rPr>
          <w:rFonts w:ascii="Trebuchet MS" w:hAnsi="Trebuchet MS"/>
          <w:lang w:val="ro-RO"/>
        </w:rPr>
        <w:t>Ordonanţa Guvernului nr. 14/2007 pentru reglementarea modului şi condiţiilor de valorificare a bunurilor intrate, potrivit legii, în proprietatea privată a statului;</w:t>
      </w:r>
    </w:p>
    <w:p w:rsidR="00B00CF9" w:rsidRPr="003411C0" w:rsidRDefault="00B00CF9" w:rsidP="00B00CF9">
      <w:pPr>
        <w:pStyle w:val="ListParagraph"/>
        <w:numPr>
          <w:ilvl w:val="0"/>
          <w:numId w:val="40"/>
        </w:numPr>
        <w:rPr>
          <w:rFonts w:ascii="Trebuchet MS" w:hAnsi="Trebuchet MS"/>
          <w:lang w:val="ro-RO"/>
        </w:rPr>
      </w:pPr>
      <w:r w:rsidRPr="003411C0">
        <w:rPr>
          <w:rFonts w:ascii="Trebuchet MS" w:hAnsi="Trebuchet MS"/>
          <w:lang w:val="ro-RO"/>
        </w:rPr>
        <w:t>Ordonanța Guvernului nr. 27/2002 privind reglementarea activității de soluționare a petițiilor;</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 xml:space="preserve">Hotărârea Guvernului nr. 585/2002 </w:t>
      </w:r>
      <w:r w:rsidRPr="003411C0">
        <w:rPr>
          <w:rFonts w:ascii="Trebuchet MS" w:hAnsi="Trebuchet MS" w:cs="Arial"/>
          <w:bCs/>
          <w:shd w:val="clear" w:color="auto" w:fill="FFFFFF"/>
          <w:lang w:val="ro-RO"/>
        </w:rPr>
        <w:t>pentru aprobarea Standardelor naţionale de protecţie a informaţiilor clasificate în România</w:t>
      </w:r>
      <w:r w:rsidRPr="003411C0">
        <w:rPr>
          <w:rFonts w:ascii="Trebuchet MS" w:hAnsi="Trebuchet MS"/>
          <w:lang w:val="ro-RO"/>
        </w:rPr>
        <w:t>;</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Hotărârea Guvernului nr. 1349/2002 privind colectarea, transportul, distribuirea și protecția, pe teritoriul României, a corespondenței clasificate;</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 xml:space="preserve">Hotărârea Guvernului nr. 123/2002 pentru aprobarea Normelor metodologice de aplicare a Legii nr. 544/2001 privind liberul acces la informaţiile de interes public, cu modificările și completările ulterioare. </w:t>
      </w:r>
    </w:p>
    <w:p w:rsidR="006E7FBA" w:rsidRPr="003411C0" w:rsidRDefault="006E7FBA" w:rsidP="006E7FBA">
      <w:pPr>
        <w:pStyle w:val="ListParagraph"/>
        <w:numPr>
          <w:ilvl w:val="0"/>
          <w:numId w:val="40"/>
        </w:numPr>
        <w:spacing w:line="276" w:lineRule="auto"/>
        <w:jc w:val="both"/>
        <w:rPr>
          <w:rFonts w:ascii="Trebuchet MS" w:hAnsi="Trebuchet MS"/>
          <w:lang w:val="ro-RO"/>
        </w:rPr>
      </w:pPr>
      <w:r w:rsidRPr="003411C0">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lastRenderedPageBreak/>
        <w:t>Ordinul nr. 4.344/C/2.843/2016 pentru aprobarea Metodologiei de lucru privind evaluarea şi valorificarea bunurilor mobile sechestrate;</w:t>
      </w:r>
    </w:p>
    <w:p w:rsidR="006E7FBA" w:rsidRPr="003411C0" w:rsidRDefault="006E7FBA" w:rsidP="006E7FBA">
      <w:pPr>
        <w:pStyle w:val="ListParagraph"/>
        <w:numPr>
          <w:ilvl w:val="0"/>
          <w:numId w:val="40"/>
        </w:numPr>
        <w:spacing w:line="276" w:lineRule="auto"/>
        <w:rPr>
          <w:rFonts w:ascii="Trebuchet MS" w:hAnsi="Trebuchet MS"/>
          <w:lang w:val="ro-RO"/>
        </w:rPr>
      </w:pPr>
      <w:r w:rsidRPr="003411C0">
        <w:rPr>
          <w:rFonts w:ascii="Trebuchet MS" w:hAnsi="Trebuchet MS"/>
          <w:lang w:val="ro-RO"/>
        </w:rPr>
        <w:t>Regulamentul general al Uniunii Europene privind protecția datelor (Regulamentul UE 2016/679, “GDPR”).</w:t>
      </w:r>
    </w:p>
    <w:p w:rsidR="006E7FBA" w:rsidRPr="003411C0" w:rsidRDefault="006E7FBA" w:rsidP="006E7FBA">
      <w:pPr>
        <w:spacing w:after="0"/>
        <w:ind w:left="0"/>
        <w:rPr>
          <w:b/>
          <w:lang w:val="ro-RO"/>
        </w:rPr>
      </w:pPr>
    </w:p>
    <w:p w:rsidR="00642BA3" w:rsidRPr="003411C0" w:rsidRDefault="00642BA3" w:rsidP="006E7FBA">
      <w:pPr>
        <w:spacing w:after="0"/>
        <w:ind w:left="0"/>
        <w:rPr>
          <w:b/>
          <w:lang w:val="ro-RO"/>
        </w:rPr>
      </w:pPr>
    </w:p>
    <w:p w:rsidR="00642BA3" w:rsidRPr="003411C0" w:rsidRDefault="00642BA3" w:rsidP="006E7FBA">
      <w:pPr>
        <w:spacing w:after="0"/>
        <w:ind w:left="0"/>
        <w:rPr>
          <w:b/>
          <w:lang w:val="ro-RO"/>
        </w:rPr>
      </w:pPr>
    </w:p>
    <w:p w:rsidR="006E7FBA" w:rsidRPr="003411C0" w:rsidRDefault="00BB1884" w:rsidP="006E7FBA">
      <w:pPr>
        <w:ind w:left="-284"/>
        <w:rPr>
          <w:b/>
          <w:u w:val="single"/>
          <w:lang w:val="ro-RO"/>
        </w:rPr>
      </w:pPr>
      <w:r w:rsidRPr="003411C0">
        <w:rPr>
          <w:b/>
          <w:lang w:val="ro-RO"/>
        </w:rPr>
        <w:t xml:space="preserve">       </w:t>
      </w:r>
      <w:r w:rsidR="006E7FBA" w:rsidRPr="003411C0">
        <w:rPr>
          <w:b/>
          <w:u w:val="single"/>
          <w:lang w:val="ro-RO"/>
        </w:rPr>
        <w:t>Tematica:</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Organizarea şi funcţionarea ANABI. Atribuţiile ANABI (Legea nr. 318/2015, HG. nr. 358/2016);</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Etapele procedurii de valorificare. Modalitati de valorificare.(Ordinul nr. 4.344/C/2.843/2016 pentru aprobarea Metodologiei de lucru privind evaluarea şi valorificarea bunurilor mobile sechestrate);</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Procedura de reutilizare a bunurilor imobile intrate prin confiscare in proprietatea privata a statului (Legea nr. 216/2016);</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 xml:space="preserve">Reglementarea modului si </w:t>
      </w:r>
      <w:r w:rsidR="00642BA3" w:rsidRPr="003411C0">
        <w:rPr>
          <w:rFonts w:ascii="Trebuchet MS" w:hAnsi="Trebuchet MS"/>
          <w:lang w:val="ro-RO"/>
        </w:rPr>
        <w:t>condițiilor</w:t>
      </w:r>
      <w:r w:rsidRPr="003411C0">
        <w:rPr>
          <w:rFonts w:ascii="Trebuchet MS" w:hAnsi="Trebuchet MS"/>
          <w:lang w:val="ro-RO"/>
        </w:rPr>
        <w:t xml:space="preserve"> de intrare in proprietatea privata a statului a bunurilor confiscate. Dispoziţii generale. Declararea şi preluarea bunurilor intrate în proprietatea privată a statului. Evaluarea şi valorificarea bunurilor intrate în proprietatea privată a statului. Venituri şi cheltuieli rezultate din valorificarea bunurilor intrate în proprietatea privată a statului. (Ordonanţa Guvernului nr. 14/2007) ;</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Reglementarea activității de soluționare a petițiilor. (O.G. nr. 27/2002, Legea nr. 233/2002);</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Liberul acces la informaţiile de interes public. (Legea nr. 544/2001, Hotararea</w:t>
      </w:r>
      <w:r w:rsidR="00482879" w:rsidRPr="003411C0">
        <w:rPr>
          <w:rFonts w:ascii="Trebuchet MS" w:hAnsi="Trebuchet MS"/>
          <w:lang w:val="ro-RO"/>
        </w:rPr>
        <w:t xml:space="preserve"> Guvernului</w:t>
      </w:r>
      <w:r w:rsidRPr="003411C0">
        <w:rPr>
          <w:rFonts w:ascii="Trebuchet MS" w:hAnsi="Trebuchet MS"/>
          <w:lang w:val="ro-RO"/>
        </w:rPr>
        <w:t xml:space="preserve"> nr. 123/2002 );</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Protecţia informaţiilor clasificate: Clasificarea informaţiilor. Declasificarea şi trecerea informaţiilor clasificate la un nivel inferior de secretizare. Măsuri minime de protecţie a informaţiilor clasificate. Accesul la informaţiile clasificate. Reguli generale privind evidența, întocmirea, păstrarea, procesarea, multiplicarea, manipularea, transportul, transmiterea şi distrugerea informaţiilor clasificate. Colectarea, transportul, distribuirea şi protecţia, pe teritoriul României, a corespondenţei clasificate (H.G. nr. 585/2002 şi H.G. nr. 1349/2002);</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Subiectele de sezină. Excepția de nelegalitate. Actele nesuspuse controlului și limitele controlului. Actele administrativ-jurisdicționale. Procedura de soluționare a cererilor. Procedura de executare. (Legea nr. 554/2004);</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 xml:space="preserve">Principii generale ale cooperării judiciare internaţionale în materie penală Dispoziţii privind cooperarea cu statele membre ale Uniunii Europene în aplicarea Deciziei-cadru 2006/783/JAI din 6 octombrie 2006 privind aplicarea principiului recunoaşterii reciproce la ordinele de confiscare (Legea nr. 302/2004);  </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Protecția persoanelor cu privire la prelucrarea datelor cu caracter personal și libera circulație a acestor date (Regulamentul (UE) 2016/679 privind protecţia persoanelor fizice în ceea ce priveşte prelucrarea datelor cu caracter personal şi privind libera circulaţie a acestor date şi de abrogare a Directivei 95/46/CE;</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Masuri de siguranta. Infractiuni contra patrimoniului. Infractiuni contra infaptuirii justitiei. Infractiuni de coruptie si de serviciu. (Legea nr. 286/2009);</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lastRenderedPageBreak/>
        <w:t>Acţiunea penală. Actiunea civila. Partile si subiectii procesuali principali. Probele-reguli generale. Perchezitia domiciliara: procesul-verbal de perchezitie, masuri privind obiectele ori inscrisurile ridicate, conservarea sau valorificarea obiectelor ridicate. Ridicarea de obiecte si inscrisuri. Inscrisurile. Masurile asiguratorii. Restituirea lucrurilor. Termenele. Modificarea actelor de procedura.  Rezolvarea actiunii civile. Executarea hotararilor penale: dispozitii geenrale; executarea confiscarii speciale sau extinse; punerea in executare a dispozitiilor civile din hotarare. (Legea nr. 135/2010)</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 xml:space="preserve">Nulitatea actelor de procedura. Termenele procedurale. Contestatia la executare. Masuri asiguratorii (Legea nr. 134/2010 privind Codul de procedura civila). </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Prevenirea şi combaterea evaziunii fiscale.(Legea nr. 241/2005);</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Prevenirea şi sancţionarea spălării banilor şi unele măsuri privind prevenirea şi combaterea finanţării terorismului: Dispoziţii generale, Infracţiunea de spălare a banilor (Legea nr. 656/2002);</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Administrarea bunurilor altuia: dispozitii generale; forme de administrare; regimul juridic al administrarii - obligatiile administratorului fata de  beneficiar, obligatiile administratorului si ale beneficiarului in raporturile cu tertii, inventar,garantii si asigurare. Contractul: dispozitii generale, incheierea contractului; nulitatea contractului; interpretarea contractului (Legea nr. 287/2009 privind Noul Cod civil);</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Achiziţiile publice în România: Principii. Autorităţi contractante. Domeniu de aplicare. Proceduri de atribuire. Instrumente şi tehnici specifice de atribuire a contractelor de achiziţie publică. Finalizarea procedurii de atribuire. Modificarea contractului de achiziţie publică/acordului-cadru. (Legea nr. 98/2016);</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Regimuri suspensive şi regimuri vamale economice. Zone libere şi antrepozite libere. Mărfuri care părăsesc teritoriul vamal al României (Legea nr. 86/2006);</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Reglementări fiscale și infracţiunile prevăzute de Codul Fiscal: Taxa pe valoarea adăugată (Definiţii, Operaţiuni impozabile, Persoane impozabile, Operaţiuni cuprinse în sfera de aplicare a taxei, Locul operaţiunilor cuprinse în sfera de aplicare a taxei, Faptul generator şi exigibilitatea taxei pe valoarea adăugată, Baza de impozitare, Cotele de taxă, Operaţiuni scutite de taxă, Regimul deducerilor, Persoane obligate la plata taxei, Regimuri speciale, Masuri de simplificare,  Obligaţii, Dispoziţii comune, Dispoziții tranzitorii), Accize şi alte taxe speciale - Regimul accizelor armonizate (Dispoziţii generale, Nivelul şi calculul accizelor, Obligaţiile plătitorilor de accize, Alcool şi băuturi alcoolice, Tutun prelucrat, Produse energetice, Energie electrică, Autorizarea operatorilor economici care desfăşoară activităţi cu produse accizabile în regim suspensiv de accize, Regimul de antrepozitare, Destinatarul înregistrat, Expeditorul înregistrat, Importatorul autorizat, Excepţii de la regimul de accizare pentru produse energetice şi energie electrică, Scutiri de la plata accizelor, Restituiri de accize, Infracţiuni (Legea nr. 227/2015);</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Garanţii. Măsuri asigurătorii. Prescripţia dreptului de a cere executarea silită şi a dreptului de a cere restituirea. Stingerea creanţelor fiscale prin executare silită. Dispoziţii aplicabile cazurilor speciale de executare silită (Legea nr. 207/2015);</w:t>
      </w:r>
    </w:p>
    <w:p w:rsidR="006E7FBA" w:rsidRPr="003411C0" w:rsidRDefault="006E7FBA" w:rsidP="006E7FBA">
      <w:pPr>
        <w:pStyle w:val="ListParagraph"/>
        <w:numPr>
          <w:ilvl w:val="0"/>
          <w:numId w:val="41"/>
        </w:numPr>
        <w:spacing w:line="276" w:lineRule="auto"/>
        <w:jc w:val="both"/>
        <w:rPr>
          <w:rFonts w:ascii="Trebuchet MS" w:hAnsi="Trebuchet MS"/>
          <w:lang w:val="ro-RO"/>
        </w:rPr>
      </w:pPr>
      <w:r w:rsidRPr="003411C0">
        <w:rPr>
          <w:rFonts w:ascii="Trebuchet MS" w:hAnsi="Trebuchet MS"/>
          <w:lang w:val="ro-RO"/>
        </w:rPr>
        <w:t>Cadrul legal general privind finanţele publice: Dispoziţii generale. Principii si reguli bugetare (Legea nr. 500/2002);</w:t>
      </w:r>
    </w:p>
    <w:p w:rsidR="006E7FBA" w:rsidRPr="003411C0" w:rsidRDefault="006E7FBA" w:rsidP="006E7FBA">
      <w:pPr>
        <w:pStyle w:val="ListParagraph"/>
        <w:spacing w:line="276" w:lineRule="auto"/>
        <w:jc w:val="both"/>
        <w:rPr>
          <w:rFonts w:ascii="Trebuchet MS" w:hAnsi="Trebuchet MS"/>
          <w:lang w:val="ro-RO"/>
        </w:rPr>
      </w:pPr>
    </w:p>
    <w:p w:rsidR="00642BA3" w:rsidRPr="003411C0" w:rsidRDefault="00642BA3" w:rsidP="006E7FBA">
      <w:pPr>
        <w:pStyle w:val="ListParagraph"/>
        <w:spacing w:line="276" w:lineRule="auto"/>
        <w:jc w:val="both"/>
        <w:rPr>
          <w:rFonts w:ascii="Trebuchet MS" w:hAnsi="Trebuchet MS"/>
          <w:lang w:val="ro-RO"/>
        </w:rPr>
      </w:pPr>
    </w:p>
    <w:p w:rsidR="00642BA3" w:rsidRPr="003411C0" w:rsidRDefault="00642BA3" w:rsidP="006E7FBA">
      <w:pPr>
        <w:pStyle w:val="ListParagraph"/>
        <w:spacing w:line="276" w:lineRule="auto"/>
        <w:jc w:val="both"/>
        <w:rPr>
          <w:rFonts w:ascii="Trebuchet MS" w:hAnsi="Trebuchet MS"/>
          <w:lang w:val="ro-RO"/>
        </w:rPr>
      </w:pPr>
    </w:p>
    <w:p w:rsidR="006E7FBA" w:rsidRPr="003411C0" w:rsidRDefault="006E7FBA" w:rsidP="006E7FBA">
      <w:pPr>
        <w:ind w:left="0"/>
        <w:rPr>
          <w:lang w:val="ro-RO"/>
        </w:rPr>
      </w:pPr>
      <w:r w:rsidRPr="003411C0">
        <w:rPr>
          <w:lang w:val="ro-RO"/>
        </w:rPr>
        <w:t xml:space="preserve">NOTĂ: </w:t>
      </w:r>
    </w:p>
    <w:p w:rsidR="006E7FBA" w:rsidRPr="003411C0" w:rsidRDefault="006E7FBA" w:rsidP="006E7FBA">
      <w:pPr>
        <w:ind w:left="0"/>
        <w:rPr>
          <w:lang w:val="ro-RO"/>
        </w:rPr>
      </w:pPr>
      <w:r w:rsidRPr="003411C0">
        <w:rPr>
          <w:lang w:val="ro-RO"/>
        </w:rPr>
        <w:t>În vederea pregătirii pentru concurs, candidaţii vor consulta bibliografia indicată, în forma actualizată, în vigoare la data publicarii anuntului de concurs</w:t>
      </w:r>
      <w:r w:rsidR="00AA3096" w:rsidRPr="003411C0">
        <w:rPr>
          <w:lang w:val="ro-RO"/>
        </w:rPr>
        <w:t>.</w:t>
      </w:r>
      <w:r w:rsidR="00DB060C" w:rsidRPr="003411C0">
        <w:rPr>
          <w:lang w:val="ro-RO"/>
        </w:rPr>
        <w:t>Ac</w:t>
      </w:r>
      <w:r w:rsidRPr="003411C0">
        <w:rPr>
          <w:lang w:val="ro-RO"/>
        </w:rPr>
        <w:t xml:space="preserve">tele normative menţionate pentru care nu sunt specificate titluri sau capitole vor fi studiate în </w:t>
      </w:r>
      <w:r w:rsidR="006C2655" w:rsidRPr="003411C0">
        <w:rPr>
          <w:lang w:val="ro-RO"/>
        </w:rPr>
        <w:t>întregime</w:t>
      </w:r>
      <w:r w:rsidRPr="003411C0">
        <w:rPr>
          <w:lang w:val="ro-RO"/>
        </w:rPr>
        <w:t>.</w:t>
      </w:r>
    </w:p>
    <w:p w:rsidR="0003298E" w:rsidRPr="003411C0" w:rsidRDefault="0003298E" w:rsidP="0003298E">
      <w:pPr>
        <w:spacing w:after="0"/>
        <w:ind w:left="0"/>
        <w:rPr>
          <w:lang w:val="ro-RO"/>
        </w:rPr>
      </w:pPr>
    </w:p>
    <w:p w:rsidR="00642BA3" w:rsidRPr="003411C0" w:rsidRDefault="00642BA3" w:rsidP="0003298E">
      <w:pPr>
        <w:spacing w:after="0"/>
        <w:ind w:left="0"/>
        <w:rPr>
          <w:lang w:val="ro-RO"/>
        </w:rPr>
      </w:pPr>
    </w:p>
    <w:sectPr w:rsidR="00642BA3" w:rsidRPr="003411C0"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1F" w:rsidRDefault="00A9721F" w:rsidP="00CD5B3B">
      <w:r>
        <w:separator/>
      </w:r>
    </w:p>
  </w:endnote>
  <w:endnote w:type="continuationSeparator" w:id="0">
    <w:p w:rsidR="00A9721F" w:rsidRDefault="00A9721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Ind w:w="-1701" w:type="dxa"/>
      <w:tblLook w:val="04A0" w:firstRow="1" w:lastRow="0" w:firstColumn="1" w:lastColumn="0" w:noHBand="0" w:noVBand="1"/>
    </w:tblPr>
    <w:tblGrid>
      <w:gridCol w:w="1566"/>
      <w:gridCol w:w="5986"/>
      <w:gridCol w:w="3613"/>
    </w:tblGrid>
    <w:tr w:rsidR="008E71D1" w:rsidRPr="00EB710B" w:rsidTr="006E7FBA">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7549F" w:rsidRPr="00E7549F" w:rsidRDefault="00E7549F" w:rsidP="00E7549F">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7549F" w:rsidRPr="00E7549F" w:rsidRDefault="00E7549F" w:rsidP="00E7549F">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7549F" w:rsidP="00E7549F">
          <w:pPr>
            <w:tabs>
              <w:tab w:val="center" w:pos="4320"/>
              <w:tab w:val="right" w:pos="8640"/>
            </w:tabs>
            <w:spacing w:after="0"/>
            <w:ind w:left="0"/>
            <w:rPr>
              <w:sz w:val="14"/>
              <w:szCs w:val="14"/>
            </w:rPr>
          </w:pPr>
          <w:r w:rsidRPr="00E7549F">
            <w:rPr>
              <w:sz w:val="14"/>
              <w:szCs w:val="14"/>
            </w:rPr>
            <w:t xml:space="preserve">www.just.ro; anabi.just.ro     </w:t>
          </w:r>
        </w:p>
      </w:tc>
      <w:tc>
        <w:tcPr>
          <w:tcW w:w="3613"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201218">
                <w:rPr>
                  <w:b/>
                  <w:bCs/>
                  <w:noProof/>
                  <w:sz w:val="14"/>
                  <w:szCs w:val="14"/>
                </w:rPr>
                <w:t>4</w:t>
              </w:r>
              <w:r w:rsidRPr="008E71D1">
                <w:rPr>
                  <w:b/>
                  <w:bCs/>
                  <w:sz w:val="14"/>
                  <w:szCs w:val="14"/>
                </w:rPr>
                <w:fldChar w:fldCharType="end"/>
              </w:r>
              <w:r w:rsidRPr="008E71D1">
                <w:rPr>
                  <w:sz w:val="14"/>
                  <w:szCs w:val="14"/>
                </w:rPr>
                <w:t xml:space="preserve"> din </w:t>
              </w:r>
              <w:r w:rsidR="00A01D8C">
                <w:rPr>
                  <w:b/>
                  <w:bCs/>
                  <w:sz w:val="14"/>
                  <w:szCs w:val="14"/>
                </w:rPr>
                <w:t>4</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1701" w:type="dxa"/>
      <w:tblBorders>
        <w:top w:val="single" w:sz="4" w:space="0" w:color="auto"/>
      </w:tblBorders>
      <w:tblLook w:val="04A0" w:firstRow="1" w:lastRow="0" w:firstColumn="1" w:lastColumn="0" w:noHBand="0" w:noVBand="1"/>
    </w:tblPr>
    <w:tblGrid>
      <w:gridCol w:w="1566"/>
      <w:gridCol w:w="5986"/>
      <w:gridCol w:w="3329"/>
    </w:tblGrid>
    <w:tr w:rsidR="00871FC1" w:rsidRPr="00EB710B" w:rsidTr="006E7FBA">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7549F" w:rsidRPr="00747771" w:rsidRDefault="00E7549F" w:rsidP="00E7549F">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E7549F" w:rsidRPr="00747771" w:rsidRDefault="00E7549F" w:rsidP="00E7549F">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71FC1" w:rsidRPr="00673C88" w:rsidRDefault="00E7549F" w:rsidP="00E7549F">
          <w:pPr>
            <w:tabs>
              <w:tab w:val="center" w:pos="4320"/>
              <w:tab w:val="right" w:pos="8640"/>
            </w:tabs>
            <w:spacing w:after="0"/>
            <w:ind w:left="0"/>
            <w:rPr>
              <w:sz w:val="14"/>
              <w:szCs w:val="14"/>
            </w:rPr>
          </w:pPr>
          <w:r w:rsidRPr="00747771">
            <w:rPr>
              <w:sz w:val="14"/>
              <w:szCs w:val="14"/>
            </w:rPr>
            <w:t xml:space="preserve">www.just.ro; anabi.just.ro     </w:t>
          </w:r>
        </w:p>
      </w:tc>
      <w:tc>
        <w:tcPr>
          <w:tcW w:w="3329"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201218">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A01D8C">
            <w:rPr>
              <w:sz w:val="14"/>
              <w:szCs w:val="14"/>
              <w:lang w:val="es-ES"/>
            </w:rPr>
            <w:t>4</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1F" w:rsidRDefault="00A9721F" w:rsidP="00CD5B3B">
      <w:r>
        <w:separator/>
      </w:r>
    </w:p>
  </w:footnote>
  <w:footnote w:type="continuationSeparator" w:id="0">
    <w:p w:rsidR="00A9721F" w:rsidRDefault="00A9721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6E7FBA" w:rsidP="008A4458">
    <w:pPr>
      <w:pStyle w:val="Header"/>
      <w:ind w:left="0"/>
    </w:pPr>
    <w:r>
      <w:rPr>
        <w:noProof/>
        <w:sz w:val="2"/>
        <w:szCs w:val="2"/>
        <w:lang w:val="ro-RO" w:eastAsia="ro-RO"/>
      </w:rPr>
      <w:drawing>
        <wp:inline distT="0" distB="0" distL="0" distR="0" wp14:anchorId="1F5F4B81" wp14:editId="25E04A6A">
          <wp:extent cx="3323590" cy="707390"/>
          <wp:effectExtent l="0" t="0" r="0" b="0"/>
          <wp:docPr id="125" name="Picture 125"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2" w:type="dxa"/>
      <w:tblInd w:w="-563" w:type="dxa"/>
      <w:tblCellMar>
        <w:left w:w="0" w:type="dxa"/>
        <w:right w:w="0" w:type="dxa"/>
      </w:tblCellMar>
      <w:tblLook w:val="04A0" w:firstRow="1" w:lastRow="0" w:firstColumn="1" w:lastColumn="0" w:noHBand="0" w:noVBand="1"/>
    </w:tblPr>
    <w:tblGrid>
      <w:gridCol w:w="6804"/>
      <w:gridCol w:w="3398"/>
    </w:tblGrid>
    <w:tr w:rsidR="00871FC1" w:rsidTr="006E7FBA">
      <w:tc>
        <w:tcPr>
          <w:tcW w:w="6804" w:type="dxa"/>
          <w:shd w:val="clear" w:color="auto" w:fill="auto"/>
        </w:tcPr>
        <w:p w:rsidR="00871FC1" w:rsidRPr="00CD5B3B" w:rsidRDefault="00C37A7F" w:rsidP="00673C88">
          <w:pPr>
            <w:pStyle w:val="MediumGrid21"/>
            <w:ind w:left="-189"/>
          </w:pPr>
          <w:r>
            <w:rPr>
              <w:noProof/>
              <w:lang w:val="ro-RO" w:eastAsia="ro-RO"/>
            </w:rPr>
            <w:drawing>
              <wp:inline distT="0" distB="0" distL="0" distR="0" wp14:anchorId="317CF7EB" wp14:editId="223FD042">
                <wp:extent cx="4429125" cy="1257300"/>
                <wp:effectExtent l="0" t="0" r="9525" b="0"/>
                <wp:docPr id="1" name="Picture 1"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398" w:type="dxa"/>
          <w:shd w:val="clear" w:color="auto" w:fill="auto"/>
          <w:vAlign w:val="center"/>
        </w:tcPr>
        <w:p w:rsidR="00871FC1" w:rsidRDefault="00201218" w:rsidP="00E562FC">
          <w:pPr>
            <w:pStyle w:val="MediumGrid21"/>
            <w:jc w:val="right"/>
          </w:pPr>
          <w:r>
            <w:rPr>
              <w:noProof/>
              <w:lang w:val="ro-RO" w:eastAsia="ro-RO"/>
            </w:rPr>
            <w:drawing>
              <wp:anchor distT="0" distB="0" distL="114300" distR="114300" simplePos="0" relativeHeight="251661312" behindDoc="0" locked="0" layoutInCell="1" allowOverlap="1" wp14:anchorId="05253E4F" wp14:editId="00D4175F">
                <wp:simplePos x="0" y="0"/>
                <wp:positionH relativeFrom="column">
                  <wp:posOffset>274955</wp:posOffset>
                </wp:positionH>
                <wp:positionV relativeFrom="paragraph">
                  <wp:posOffset>29210</wp:posOffset>
                </wp:positionV>
                <wp:extent cx="1685925" cy="5803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C22"/>
    <w:multiLevelType w:val="hybridMultilevel"/>
    <w:tmpl w:val="42AE57BA"/>
    <w:lvl w:ilvl="0" w:tplc="F6303268">
      <w:numFmt w:val="bullet"/>
      <w:lvlText w:val="-"/>
      <w:lvlJc w:val="left"/>
      <w:pPr>
        <w:ind w:left="495" w:hanging="360"/>
      </w:pPr>
      <w:rPr>
        <w:rFonts w:ascii="Trebuchet MS" w:eastAsia="MS Mincho" w:hAnsi="Trebuchet MS" w:cs="Times New Roman" w:hint="default"/>
      </w:rPr>
    </w:lvl>
    <w:lvl w:ilvl="1" w:tplc="04180003" w:tentative="1">
      <w:start w:val="1"/>
      <w:numFmt w:val="bullet"/>
      <w:lvlText w:val="o"/>
      <w:lvlJc w:val="left"/>
      <w:pPr>
        <w:ind w:left="1215" w:hanging="360"/>
      </w:pPr>
      <w:rPr>
        <w:rFonts w:ascii="Courier New" w:hAnsi="Courier New" w:cs="Courier New" w:hint="default"/>
      </w:rPr>
    </w:lvl>
    <w:lvl w:ilvl="2" w:tplc="04180005" w:tentative="1">
      <w:start w:val="1"/>
      <w:numFmt w:val="bullet"/>
      <w:lvlText w:val=""/>
      <w:lvlJc w:val="left"/>
      <w:pPr>
        <w:ind w:left="1935" w:hanging="360"/>
      </w:pPr>
      <w:rPr>
        <w:rFonts w:ascii="Wingdings" w:hAnsi="Wingdings" w:hint="default"/>
      </w:rPr>
    </w:lvl>
    <w:lvl w:ilvl="3" w:tplc="04180001" w:tentative="1">
      <w:start w:val="1"/>
      <w:numFmt w:val="bullet"/>
      <w:lvlText w:val=""/>
      <w:lvlJc w:val="left"/>
      <w:pPr>
        <w:ind w:left="2655" w:hanging="360"/>
      </w:pPr>
      <w:rPr>
        <w:rFonts w:ascii="Symbol" w:hAnsi="Symbol" w:hint="default"/>
      </w:rPr>
    </w:lvl>
    <w:lvl w:ilvl="4" w:tplc="04180003" w:tentative="1">
      <w:start w:val="1"/>
      <w:numFmt w:val="bullet"/>
      <w:lvlText w:val="o"/>
      <w:lvlJc w:val="left"/>
      <w:pPr>
        <w:ind w:left="3375" w:hanging="360"/>
      </w:pPr>
      <w:rPr>
        <w:rFonts w:ascii="Courier New" w:hAnsi="Courier New" w:cs="Courier New" w:hint="default"/>
      </w:rPr>
    </w:lvl>
    <w:lvl w:ilvl="5" w:tplc="04180005" w:tentative="1">
      <w:start w:val="1"/>
      <w:numFmt w:val="bullet"/>
      <w:lvlText w:val=""/>
      <w:lvlJc w:val="left"/>
      <w:pPr>
        <w:ind w:left="4095" w:hanging="360"/>
      </w:pPr>
      <w:rPr>
        <w:rFonts w:ascii="Wingdings" w:hAnsi="Wingdings" w:hint="default"/>
      </w:rPr>
    </w:lvl>
    <w:lvl w:ilvl="6" w:tplc="04180001" w:tentative="1">
      <w:start w:val="1"/>
      <w:numFmt w:val="bullet"/>
      <w:lvlText w:val=""/>
      <w:lvlJc w:val="left"/>
      <w:pPr>
        <w:ind w:left="4815" w:hanging="360"/>
      </w:pPr>
      <w:rPr>
        <w:rFonts w:ascii="Symbol" w:hAnsi="Symbol" w:hint="default"/>
      </w:rPr>
    </w:lvl>
    <w:lvl w:ilvl="7" w:tplc="04180003" w:tentative="1">
      <w:start w:val="1"/>
      <w:numFmt w:val="bullet"/>
      <w:lvlText w:val="o"/>
      <w:lvlJc w:val="left"/>
      <w:pPr>
        <w:ind w:left="5535" w:hanging="360"/>
      </w:pPr>
      <w:rPr>
        <w:rFonts w:ascii="Courier New" w:hAnsi="Courier New" w:cs="Courier New" w:hint="default"/>
      </w:rPr>
    </w:lvl>
    <w:lvl w:ilvl="8" w:tplc="04180005" w:tentative="1">
      <w:start w:val="1"/>
      <w:numFmt w:val="bullet"/>
      <w:lvlText w:val=""/>
      <w:lvlJc w:val="left"/>
      <w:pPr>
        <w:ind w:left="6255" w:hanging="360"/>
      </w:pPr>
      <w:rPr>
        <w:rFonts w:ascii="Wingdings" w:hAnsi="Wingdings" w:hint="default"/>
      </w:rPr>
    </w:lvl>
  </w:abstractNum>
  <w:abstractNum w:abstractNumId="1">
    <w:nsid w:val="08A55F65"/>
    <w:multiLevelType w:val="hybridMultilevel"/>
    <w:tmpl w:val="06D6C190"/>
    <w:lvl w:ilvl="0" w:tplc="68AC08A6">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251E9"/>
    <w:multiLevelType w:val="hybridMultilevel"/>
    <w:tmpl w:val="5D20EF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925333"/>
    <w:multiLevelType w:val="hybridMultilevel"/>
    <w:tmpl w:val="1FDC80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55075A"/>
    <w:multiLevelType w:val="hybridMultilevel"/>
    <w:tmpl w:val="092ADC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A12630"/>
    <w:multiLevelType w:val="hybridMultilevel"/>
    <w:tmpl w:val="D76C0116"/>
    <w:lvl w:ilvl="0" w:tplc="06183CB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653A4F"/>
    <w:multiLevelType w:val="hybridMultilevel"/>
    <w:tmpl w:val="78CC8A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E2459B2"/>
    <w:multiLevelType w:val="hybridMultilevel"/>
    <w:tmpl w:val="E97840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D878E5"/>
    <w:multiLevelType w:val="hybridMultilevel"/>
    <w:tmpl w:val="A4108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413D7"/>
    <w:multiLevelType w:val="hybridMultilevel"/>
    <w:tmpl w:val="9E0E06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C324F"/>
    <w:multiLevelType w:val="hybridMultilevel"/>
    <w:tmpl w:val="84261B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2">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nsid w:val="3DA11558"/>
    <w:multiLevelType w:val="hybridMultilevel"/>
    <w:tmpl w:val="02E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201F1"/>
    <w:multiLevelType w:val="hybridMultilevel"/>
    <w:tmpl w:val="188864E8"/>
    <w:lvl w:ilvl="0" w:tplc="68AC08A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12A6BBE"/>
    <w:multiLevelType w:val="hybridMultilevel"/>
    <w:tmpl w:val="CA5EFF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nsid w:val="5A55349C"/>
    <w:multiLevelType w:val="hybridMultilevel"/>
    <w:tmpl w:val="D7C2C2E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3">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4">
    <w:nsid w:val="631F5F90"/>
    <w:multiLevelType w:val="hybridMultilevel"/>
    <w:tmpl w:val="5D5E560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69856FDD"/>
    <w:multiLevelType w:val="hybridMultilevel"/>
    <w:tmpl w:val="CBDAEA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1C4D"/>
    <w:multiLevelType w:val="hybridMultilevel"/>
    <w:tmpl w:val="694605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E0F7A6D"/>
    <w:multiLevelType w:val="hybridMultilevel"/>
    <w:tmpl w:val="D23E560E"/>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39">
    <w:nsid w:val="6EDE1C7A"/>
    <w:multiLevelType w:val="hybridMultilevel"/>
    <w:tmpl w:val="6E7C1E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0676C8D"/>
    <w:multiLevelType w:val="hybridMultilevel"/>
    <w:tmpl w:val="DD74251A"/>
    <w:lvl w:ilvl="0" w:tplc="E3B8858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33E621F"/>
    <w:multiLevelType w:val="hybridMultilevel"/>
    <w:tmpl w:val="0C0C7E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2"/>
  </w:num>
  <w:num w:numId="5">
    <w:abstractNumId w:val="36"/>
  </w:num>
  <w:num w:numId="6">
    <w:abstractNumId w:val="5"/>
  </w:num>
  <w:num w:numId="7">
    <w:abstractNumId w:val="21"/>
  </w:num>
  <w:num w:numId="8">
    <w:abstractNumId w:val="27"/>
  </w:num>
  <w:num w:numId="9">
    <w:abstractNumId w:val="3"/>
  </w:num>
  <w:num w:numId="10">
    <w:abstractNumId w:val="8"/>
  </w:num>
  <w:num w:numId="11">
    <w:abstractNumId w:val="42"/>
  </w:num>
  <w:num w:numId="12">
    <w:abstractNumId w:val="17"/>
  </w:num>
  <w:num w:numId="13">
    <w:abstractNumId w:val="9"/>
  </w:num>
  <w:num w:numId="14">
    <w:abstractNumId w:val="26"/>
  </w:num>
  <w:num w:numId="15">
    <w:abstractNumId w:val="4"/>
  </w:num>
  <w:num w:numId="16">
    <w:abstractNumId w:val="33"/>
  </w:num>
  <w:num w:numId="17">
    <w:abstractNumId w:val="30"/>
  </w:num>
  <w:num w:numId="18">
    <w:abstractNumId w:val="32"/>
  </w:num>
  <w:num w:numId="19">
    <w:abstractNumId w:val="7"/>
  </w:num>
  <w:num w:numId="20">
    <w:abstractNumId w:val="16"/>
  </w:num>
  <w:num w:numId="21">
    <w:abstractNumId w:val="0"/>
  </w:num>
  <w:num w:numId="22">
    <w:abstractNumId w:val="41"/>
  </w:num>
  <w:num w:numId="23">
    <w:abstractNumId w:val="31"/>
  </w:num>
  <w:num w:numId="24">
    <w:abstractNumId w:val="6"/>
  </w:num>
  <w:num w:numId="25">
    <w:abstractNumId w:val="13"/>
  </w:num>
  <w:num w:numId="26">
    <w:abstractNumId w:val="37"/>
  </w:num>
  <w:num w:numId="27">
    <w:abstractNumId w:val="40"/>
  </w:num>
  <w:num w:numId="28">
    <w:abstractNumId w:val="28"/>
  </w:num>
  <w:num w:numId="29">
    <w:abstractNumId w:val="38"/>
  </w:num>
  <w:num w:numId="30">
    <w:abstractNumId w:val="39"/>
  </w:num>
  <w:num w:numId="31">
    <w:abstractNumId w:val="11"/>
  </w:num>
  <w:num w:numId="32">
    <w:abstractNumId w:val="35"/>
  </w:num>
  <w:num w:numId="33">
    <w:abstractNumId w:val="18"/>
  </w:num>
  <w:num w:numId="34">
    <w:abstractNumId w:val="20"/>
  </w:num>
  <w:num w:numId="35">
    <w:abstractNumId w:val="14"/>
  </w:num>
  <w:num w:numId="36">
    <w:abstractNumId w:val="15"/>
  </w:num>
  <w:num w:numId="37">
    <w:abstractNumId w:val="34"/>
  </w:num>
  <w:num w:numId="38">
    <w:abstractNumId w:val="24"/>
  </w:num>
  <w:num w:numId="39">
    <w:abstractNumId w:val="10"/>
  </w:num>
  <w:num w:numId="40">
    <w:abstractNumId w:val="29"/>
  </w:num>
  <w:num w:numId="41">
    <w:abstractNumId w:val="25"/>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058F9"/>
    <w:rsid w:val="0001090C"/>
    <w:rsid w:val="00022E57"/>
    <w:rsid w:val="00023330"/>
    <w:rsid w:val="00024E87"/>
    <w:rsid w:val="0003298E"/>
    <w:rsid w:val="00032E5F"/>
    <w:rsid w:val="00032EB6"/>
    <w:rsid w:val="0003354D"/>
    <w:rsid w:val="00034269"/>
    <w:rsid w:val="00034D49"/>
    <w:rsid w:val="00036CF6"/>
    <w:rsid w:val="00041312"/>
    <w:rsid w:val="0004215F"/>
    <w:rsid w:val="00044A48"/>
    <w:rsid w:val="00064AD7"/>
    <w:rsid w:val="00067D3D"/>
    <w:rsid w:val="00071B0D"/>
    <w:rsid w:val="00071C18"/>
    <w:rsid w:val="00072E22"/>
    <w:rsid w:val="00082A85"/>
    <w:rsid w:val="00085879"/>
    <w:rsid w:val="00086BEA"/>
    <w:rsid w:val="00086C2D"/>
    <w:rsid w:val="000904EF"/>
    <w:rsid w:val="00091C47"/>
    <w:rsid w:val="00093637"/>
    <w:rsid w:val="00093C78"/>
    <w:rsid w:val="00093D0F"/>
    <w:rsid w:val="000A190B"/>
    <w:rsid w:val="000A3C43"/>
    <w:rsid w:val="000A5BC9"/>
    <w:rsid w:val="000A771C"/>
    <w:rsid w:val="000B5F93"/>
    <w:rsid w:val="000C0180"/>
    <w:rsid w:val="000C1045"/>
    <w:rsid w:val="000C60BB"/>
    <w:rsid w:val="000C6AC2"/>
    <w:rsid w:val="000D070F"/>
    <w:rsid w:val="000D392D"/>
    <w:rsid w:val="000D39B3"/>
    <w:rsid w:val="000D3A39"/>
    <w:rsid w:val="000E21E3"/>
    <w:rsid w:val="000E49B1"/>
    <w:rsid w:val="000E634D"/>
    <w:rsid w:val="000E7D30"/>
    <w:rsid w:val="000F010D"/>
    <w:rsid w:val="000F01EE"/>
    <w:rsid w:val="000F2E3F"/>
    <w:rsid w:val="000F2EE4"/>
    <w:rsid w:val="000F32B4"/>
    <w:rsid w:val="000F52D3"/>
    <w:rsid w:val="00100F36"/>
    <w:rsid w:val="00101A43"/>
    <w:rsid w:val="00101E48"/>
    <w:rsid w:val="001030C2"/>
    <w:rsid w:val="0011169B"/>
    <w:rsid w:val="0011511B"/>
    <w:rsid w:val="0012145B"/>
    <w:rsid w:val="00122E99"/>
    <w:rsid w:val="00123C86"/>
    <w:rsid w:val="00124041"/>
    <w:rsid w:val="001247C1"/>
    <w:rsid w:val="001266FB"/>
    <w:rsid w:val="001313F2"/>
    <w:rsid w:val="00136919"/>
    <w:rsid w:val="0014293E"/>
    <w:rsid w:val="00154C2F"/>
    <w:rsid w:val="001609CC"/>
    <w:rsid w:val="00161AB0"/>
    <w:rsid w:val="00170B9B"/>
    <w:rsid w:val="0017666F"/>
    <w:rsid w:val="0018067D"/>
    <w:rsid w:val="0018130C"/>
    <w:rsid w:val="001824AC"/>
    <w:rsid w:val="001835BD"/>
    <w:rsid w:val="001842A6"/>
    <w:rsid w:val="001A7FB6"/>
    <w:rsid w:val="001B503C"/>
    <w:rsid w:val="001B68BC"/>
    <w:rsid w:val="001B7414"/>
    <w:rsid w:val="001C0274"/>
    <w:rsid w:val="001C6D35"/>
    <w:rsid w:val="001C6ECE"/>
    <w:rsid w:val="001D002A"/>
    <w:rsid w:val="001D42C7"/>
    <w:rsid w:val="001E5A0D"/>
    <w:rsid w:val="001E7D39"/>
    <w:rsid w:val="001F15CC"/>
    <w:rsid w:val="001F2D55"/>
    <w:rsid w:val="002001E3"/>
    <w:rsid w:val="00200D14"/>
    <w:rsid w:val="00201218"/>
    <w:rsid w:val="00211F39"/>
    <w:rsid w:val="00212A34"/>
    <w:rsid w:val="00214004"/>
    <w:rsid w:val="00215E8E"/>
    <w:rsid w:val="00220919"/>
    <w:rsid w:val="002252E9"/>
    <w:rsid w:val="00225DEE"/>
    <w:rsid w:val="0023073B"/>
    <w:rsid w:val="00231C52"/>
    <w:rsid w:val="00235FFB"/>
    <w:rsid w:val="00245042"/>
    <w:rsid w:val="00252C93"/>
    <w:rsid w:val="0026158A"/>
    <w:rsid w:val="00261E11"/>
    <w:rsid w:val="0026311B"/>
    <w:rsid w:val="00265329"/>
    <w:rsid w:val="00281487"/>
    <w:rsid w:val="00287356"/>
    <w:rsid w:val="00291609"/>
    <w:rsid w:val="0029409F"/>
    <w:rsid w:val="002972F5"/>
    <w:rsid w:val="002A345D"/>
    <w:rsid w:val="002A5742"/>
    <w:rsid w:val="002A7FBB"/>
    <w:rsid w:val="002B0FBF"/>
    <w:rsid w:val="002B2D08"/>
    <w:rsid w:val="002B4222"/>
    <w:rsid w:val="002B56B8"/>
    <w:rsid w:val="002C37E6"/>
    <w:rsid w:val="002C400C"/>
    <w:rsid w:val="002C5E09"/>
    <w:rsid w:val="002C77D4"/>
    <w:rsid w:val="002D3889"/>
    <w:rsid w:val="002D6D0B"/>
    <w:rsid w:val="002D7AC6"/>
    <w:rsid w:val="002E7E64"/>
    <w:rsid w:val="002F164F"/>
    <w:rsid w:val="002F1A89"/>
    <w:rsid w:val="00303CD7"/>
    <w:rsid w:val="00306056"/>
    <w:rsid w:val="00312E32"/>
    <w:rsid w:val="00312FAE"/>
    <w:rsid w:val="00313EF2"/>
    <w:rsid w:val="00317BD9"/>
    <w:rsid w:val="0032032D"/>
    <w:rsid w:val="0032422C"/>
    <w:rsid w:val="003268C7"/>
    <w:rsid w:val="00331F48"/>
    <w:rsid w:val="00335600"/>
    <w:rsid w:val="00336C94"/>
    <w:rsid w:val="00337444"/>
    <w:rsid w:val="003401D5"/>
    <w:rsid w:val="003411C0"/>
    <w:rsid w:val="00342D2B"/>
    <w:rsid w:val="00345EB3"/>
    <w:rsid w:val="0035260B"/>
    <w:rsid w:val="00356E3A"/>
    <w:rsid w:val="00370471"/>
    <w:rsid w:val="003728CF"/>
    <w:rsid w:val="00374B80"/>
    <w:rsid w:val="0037651C"/>
    <w:rsid w:val="003825C8"/>
    <w:rsid w:val="00382DA7"/>
    <w:rsid w:val="00385B15"/>
    <w:rsid w:val="00395B0A"/>
    <w:rsid w:val="003A0B07"/>
    <w:rsid w:val="003A5A8E"/>
    <w:rsid w:val="003A681E"/>
    <w:rsid w:val="003A7869"/>
    <w:rsid w:val="003B0962"/>
    <w:rsid w:val="003B13E6"/>
    <w:rsid w:val="003B1655"/>
    <w:rsid w:val="003B3F71"/>
    <w:rsid w:val="003B4DAC"/>
    <w:rsid w:val="003C05DE"/>
    <w:rsid w:val="003C08C3"/>
    <w:rsid w:val="003C2C34"/>
    <w:rsid w:val="003C64C9"/>
    <w:rsid w:val="003C787D"/>
    <w:rsid w:val="003D1005"/>
    <w:rsid w:val="003D1573"/>
    <w:rsid w:val="003D7F3F"/>
    <w:rsid w:val="003E3269"/>
    <w:rsid w:val="003E4F58"/>
    <w:rsid w:val="0041039A"/>
    <w:rsid w:val="00410BA3"/>
    <w:rsid w:val="00411919"/>
    <w:rsid w:val="00420361"/>
    <w:rsid w:val="004218BD"/>
    <w:rsid w:val="00427289"/>
    <w:rsid w:val="00434F83"/>
    <w:rsid w:val="00441FBA"/>
    <w:rsid w:val="00452DF6"/>
    <w:rsid w:val="00462299"/>
    <w:rsid w:val="004626C2"/>
    <w:rsid w:val="004627DC"/>
    <w:rsid w:val="004656EE"/>
    <w:rsid w:val="0046752F"/>
    <w:rsid w:val="00467976"/>
    <w:rsid w:val="00474F80"/>
    <w:rsid w:val="00476DB0"/>
    <w:rsid w:val="0048176F"/>
    <w:rsid w:val="00482879"/>
    <w:rsid w:val="00484D10"/>
    <w:rsid w:val="004923E1"/>
    <w:rsid w:val="00493AD5"/>
    <w:rsid w:val="004A4A94"/>
    <w:rsid w:val="004A50A5"/>
    <w:rsid w:val="004A57EC"/>
    <w:rsid w:val="004A673C"/>
    <w:rsid w:val="004A7EAE"/>
    <w:rsid w:val="004B3D77"/>
    <w:rsid w:val="004C1753"/>
    <w:rsid w:val="004C6705"/>
    <w:rsid w:val="004C7979"/>
    <w:rsid w:val="004D6389"/>
    <w:rsid w:val="004E16A4"/>
    <w:rsid w:val="004E7CE6"/>
    <w:rsid w:val="004F094D"/>
    <w:rsid w:val="004F166F"/>
    <w:rsid w:val="004F1E24"/>
    <w:rsid w:val="004F7718"/>
    <w:rsid w:val="00500B0D"/>
    <w:rsid w:val="00501AC8"/>
    <w:rsid w:val="00503231"/>
    <w:rsid w:val="00510BA7"/>
    <w:rsid w:val="00511158"/>
    <w:rsid w:val="005140B7"/>
    <w:rsid w:val="005178E3"/>
    <w:rsid w:val="00523663"/>
    <w:rsid w:val="0052533C"/>
    <w:rsid w:val="005273C2"/>
    <w:rsid w:val="005310A8"/>
    <w:rsid w:val="00535D34"/>
    <w:rsid w:val="00535E1F"/>
    <w:rsid w:val="005370A5"/>
    <w:rsid w:val="00537972"/>
    <w:rsid w:val="00541B44"/>
    <w:rsid w:val="00541C7D"/>
    <w:rsid w:val="00543045"/>
    <w:rsid w:val="00550E84"/>
    <w:rsid w:val="0055296E"/>
    <w:rsid w:val="00553368"/>
    <w:rsid w:val="00560482"/>
    <w:rsid w:val="00560DB9"/>
    <w:rsid w:val="005610C0"/>
    <w:rsid w:val="00562460"/>
    <w:rsid w:val="00570FB7"/>
    <w:rsid w:val="0057675D"/>
    <w:rsid w:val="00582972"/>
    <w:rsid w:val="00584074"/>
    <w:rsid w:val="005848EF"/>
    <w:rsid w:val="0058660C"/>
    <w:rsid w:val="005905AB"/>
    <w:rsid w:val="005956F3"/>
    <w:rsid w:val="005A3C87"/>
    <w:rsid w:val="005B330C"/>
    <w:rsid w:val="005C5DB7"/>
    <w:rsid w:val="005C61E6"/>
    <w:rsid w:val="005E3008"/>
    <w:rsid w:val="005E6FFA"/>
    <w:rsid w:val="005F1405"/>
    <w:rsid w:val="005F6418"/>
    <w:rsid w:val="00604DD4"/>
    <w:rsid w:val="006051C4"/>
    <w:rsid w:val="006051C8"/>
    <w:rsid w:val="00617474"/>
    <w:rsid w:val="00622C8E"/>
    <w:rsid w:val="006330B0"/>
    <w:rsid w:val="00637F47"/>
    <w:rsid w:val="0064218B"/>
    <w:rsid w:val="006421D4"/>
    <w:rsid w:val="00642254"/>
    <w:rsid w:val="00642BA3"/>
    <w:rsid w:val="00646730"/>
    <w:rsid w:val="00647B78"/>
    <w:rsid w:val="006556B8"/>
    <w:rsid w:val="006603A7"/>
    <w:rsid w:val="00660F76"/>
    <w:rsid w:val="00662077"/>
    <w:rsid w:val="00662AF2"/>
    <w:rsid w:val="00673C88"/>
    <w:rsid w:val="00675BDE"/>
    <w:rsid w:val="0067638F"/>
    <w:rsid w:val="00677FEB"/>
    <w:rsid w:val="00680009"/>
    <w:rsid w:val="006870D8"/>
    <w:rsid w:val="006873A0"/>
    <w:rsid w:val="0068780D"/>
    <w:rsid w:val="00691202"/>
    <w:rsid w:val="00691444"/>
    <w:rsid w:val="006A018E"/>
    <w:rsid w:val="006A263E"/>
    <w:rsid w:val="006B16CD"/>
    <w:rsid w:val="006B528B"/>
    <w:rsid w:val="006B602B"/>
    <w:rsid w:val="006B7009"/>
    <w:rsid w:val="006C0E64"/>
    <w:rsid w:val="006C2655"/>
    <w:rsid w:val="006C4CF8"/>
    <w:rsid w:val="006D255D"/>
    <w:rsid w:val="006D3819"/>
    <w:rsid w:val="006E00CE"/>
    <w:rsid w:val="006E0B12"/>
    <w:rsid w:val="006E63FA"/>
    <w:rsid w:val="006E7FBA"/>
    <w:rsid w:val="006F2BB3"/>
    <w:rsid w:val="007001CB"/>
    <w:rsid w:val="0070092A"/>
    <w:rsid w:val="00703A47"/>
    <w:rsid w:val="00715CD9"/>
    <w:rsid w:val="00722BEC"/>
    <w:rsid w:val="007230AF"/>
    <w:rsid w:val="00725F2C"/>
    <w:rsid w:val="00735D89"/>
    <w:rsid w:val="00735E02"/>
    <w:rsid w:val="00736102"/>
    <w:rsid w:val="00740D0C"/>
    <w:rsid w:val="0074285B"/>
    <w:rsid w:val="00743D2D"/>
    <w:rsid w:val="00743D58"/>
    <w:rsid w:val="00744A3B"/>
    <w:rsid w:val="00744C32"/>
    <w:rsid w:val="00746E4B"/>
    <w:rsid w:val="00757261"/>
    <w:rsid w:val="00766E0E"/>
    <w:rsid w:val="00767850"/>
    <w:rsid w:val="00771737"/>
    <w:rsid w:val="007738AE"/>
    <w:rsid w:val="00776C4C"/>
    <w:rsid w:val="00781909"/>
    <w:rsid w:val="00783581"/>
    <w:rsid w:val="00783777"/>
    <w:rsid w:val="00785844"/>
    <w:rsid w:val="00785D9B"/>
    <w:rsid w:val="00787F6F"/>
    <w:rsid w:val="00791C12"/>
    <w:rsid w:val="00791F3C"/>
    <w:rsid w:val="007A4CDC"/>
    <w:rsid w:val="007A7B5E"/>
    <w:rsid w:val="007B2E37"/>
    <w:rsid w:val="007B6111"/>
    <w:rsid w:val="007C0F7D"/>
    <w:rsid w:val="007C19C0"/>
    <w:rsid w:val="007D11C5"/>
    <w:rsid w:val="007D5346"/>
    <w:rsid w:val="007E652C"/>
    <w:rsid w:val="007E66D1"/>
    <w:rsid w:val="007E6CCA"/>
    <w:rsid w:val="007F20AF"/>
    <w:rsid w:val="007F5431"/>
    <w:rsid w:val="007F7EDC"/>
    <w:rsid w:val="008000DC"/>
    <w:rsid w:val="008029F3"/>
    <w:rsid w:val="0080481A"/>
    <w:rsid w:val="00805519"/>
    <w:rsid w:val="008076AD"/>
    <w:rsid w:val="00807D05"/>
    <w:rsid w:val="0081000E"/>
    <w:rsid w:val="00811D57"/>
    <w:rsid w:val="00816DAF"/>
    <w:rsid w:val="008231E2"/>
    <w:rsid w:val="00824C85"/>
    <w:rsid w:val="00824E4A"/>
    <w:rsid w:val="00825DF6"/>
    <w:rsid w:val="00834615"/>
    <w:rsid w:val="00835599"/>
    <w:rsid w:val="0083628D"/>
    <w:rsid w:val="00840F14"/>
    <w:rsid w:val="008415BA"/>
    <w:rsid w:val="00845420"/>
    <w:rsid w:val="00847304"/>
    <w:rsid w:val="00850665"/>
    <w:rsid w:val="00851E0A"/>
    <w:rsid w:val="0085343F"/>
    <w:rsid w:val="00855C6C"/>
    <w:rsid w:val="008631EE"/>
    <w:rsid w:val="008640D0"/>
    <w:rsid w:val="00871DA8"/>
    <w:rsid w:val="00871FC1"/>
    <w:rsid w:val="0088647D"/>
    <w:rsid w:val="00887A89"/>
    <w:rsid w:val="00890480"/>
    <w:rsid w:val="008A016C"/>
    <w:rsid w:val="008A2579"/>
    <w:rsid w:val="008A2AC0"/>
    <w:rsid w:val="008A4458"/>
    <w:rsid w:val="008B3339"/>
    <w:rsid w:val="008B63B2"/>
    <w:rsid w:val="008C13BA"/>
    <w:rsid w:val="008C5DA4"/>
    <w:rsid w:val="008D0121"/>
    <w:rsid w:val="008D1711"/>
    <w:rsid w:val="008D24DE"/>
    <w:rsid w:val="008E2F8C"/>
    <w:rsid w:val="008E71D1"/>
    <w:rsid w:val="008F2F2A"/>
    <w:rsid w:val="00901A81"/>
    <w:rsid w:val="00902E86"/>
    <w:rsid w:val="00910F82"/>
    <w:rsid w:val="009134F7"/>
    <w:rsid w:val="00915096"/>
    <w:rsid w:val="00916604"/>
    <w:rsid w:val="00923F22"/>
    <w:rsid w:val="0094114F"/>
    <w:rsid w:val="00943BAE"/>
    <w:rsid w:val="0094530E"/>
    <w:rsid w:val="00983632"/>
    <w:rsid w:val="009840DF"/>
    <w:rsid w:val="00991C27"/>
    <w:rsid w:val="00994B72"/>
    <w:rsid w:val="009A5A5C"/>
    <w:rsid w:val="009A5AA8"/>
    <w:rsid w:val="009B26D0"/>
    <w:rsid w:val="009B4746"/>
    <w:rsid w:val="009B4F32"/>
    <w:rsid w:val="009B4F4C"/>
    <w:rsid w:val="009C186D"/>
    <w:rsid w:val="009C588B"/>
    <w:rsid w:val="009D34F9"/>
    <w:rsid w:val="009D39CC"/>
    <w:rsid w:val="009D3DFD"/>
    <w:rsid w:val="009E4137"/>
    <w:rsid w:val="009E56AF"/>
    <w:rsid w:val="009E7609"/>
    <w:rsid w:val="009F24D5"/>
    <w:rsid w:val="009F7FDF"/>
    <w:rsid w:val="00A00B43"/>
    <w:rsid w:val="00A01D8C"/>
    <w:rsid w:val="00A02390"/>
    <w:rsid w:val="00A13890"/>
    <w:rsid w:val="00A223E9"/>
    <w:rsid w:val="00A24B13"/>
    <w:rsid w:val="00A254CA"/>
    <w:rsid w:val="00A2610C"/>
    <w:rsid w:val="00A275CA"/>
    <w:rsid w:val="00A36C9C"/>
    <w:rsid w:val="00A4030A"/>
    <w:rsid w:val="00A40ECD"/>
    <w:rsid w:val="00A45226"/>
    <w:rsid w:val="00A45678"/>
    <w:rsid w:val="00A45E67"/>
    <w:rsid w:val="00A55435"/>
    <w:rsid w:val="00A557A5"/>
    <w:rsid w:val="00A5589B"/>
    <w:rsid w:val="00A57D5E"/>
    <w:rsid w:val="00A606C4"/>
    <w:rsid w:val="00A6476F"/>
    <w:rsid w:val="00A70E01"/>
    <w:rsid w:val="00A71BF3"/>
    <w:rsid w:val="00A7669D"/>
    <w:rsid w:val="00A7679D"/>
    <w:rsid w:val="00A77E8C"/>
    <w:rsid w:val="00A84B20"/>
    <w:rsid w:val="00A870E8"/>
    <w:rsid w:val="00A933FC"/>
    <w:rsid w:val="00A951CE"/>
    <w:rsid w:val="00A96019"/>
    <w:rsid w:val="00A9721F"/>
    <w:rsid w:val="00AA23AF"/>
    <w:rsid w:val="00AA3096"/>
    <w:rsid w:val="00AC374F"/>
    <w:rsid w:val="00AC3A35"/>
    <w:rsid w:val="00AC567E"/>
    <w:rsid w:val="00AC5EA8"/>
    <w:rsid w:val="00AD157E"/>
    <w:rsid w:val="00AD19DD"/>
    <w:rsid w:val="00AD6896"/>
    <w:rsid w:val="00AE26B4"/>
    <w:rsid w:val="00AE377E"/>
    <w:rsid w:val="00AE3FF7"/>
    <w:rsid w:val="00AF1ED3"/>
    <w:rsid w:val="00B00CF9"/>
    <w:rsid w:val="00B06D69"/>
    <w:rsid w:val="00B102EB"/>
    <w:rsid w:val="00B13BB4"/>
    <w:rsid w:val="00B23613"/>
    <w:rsid w:val="00B25E1D"/>
    <w:rsid w:val="00B42526"/>
    <w:rsid w:val="00B50DDC"/>
    <w:rsid w:val="00B5121D"/>
    <w:rsid w:val="00B53971"/>
    <w:rsid w:val="00B5717F"/>
    <w:rsid w:val="00B60939"/>
    <w:rsid w:val="00B714E7"/>
    <w:rsid w:val="00B73187"/>
    <w:rsid w:val="00B7572A"/>
    <w:rsid w:val="00B8460A"/>
    <w:rsid w:val="00B939BE"/>
    <w:rsid w:val="00B948C7"/>
    <w:rsid w:val="00BA1BBD"/>
    <w:rsid w:val="00BA74D9"/>
    <w:rsid w:val="00BA75C5"/>
    <w:rsid w:val="00BB1884"/>
    <w:rsid w:val="00BC17AE"/>
    <w:rsid w:val="00BC2E7A"/>
    <w:rsid w:val="00BC42F7"/>
    <w:rsid w:val="00BC713D"/>
    <w:rsid w:val="00BD1311"/>
    <w:rsid w:val="00BD4FF2"/>
    <w:rsid w:val="00BD55F5"/>
    <w:rsid w:val="00BD763B"/>
    <w:rsid w:val="00BF35AC"/>
    <w:rsid w:val="00C0206F"/>
    <w:rsid w:val="00C05271"/>
    <w:rsid w:val="00C05F41"/>
    <w:rsid w:val="00C05F49"/>
    <w:rsid w:val="00C079A4"/>
    <w:rsid w:val="00C10CDC"/>
    <w:rsid w:val="00C11813"/>
    <w:rsid w:val="00C14D39"/>
    <w:rsid w:val="00C1500B"/>
    <w:rsid w:val="00C17CAF"/>
    <w:rsid w:val="00C206F7"/>
    <w:rsid w:val="00C20EF1"/>
    <w:rsid w:val="00C23143"/>
    <w:rsid w:val="00C272C6"/>
    <w:rsid w:val="00C31252"/>
    <w:rsid w:val="00C31936"/>
    <w:rsid w:val="00C35E98"/>
    <w:rsid w:val="00C36202"/>
    <w:rsid w:val="00C36CFA"/>
    <w:rsid w:val="00C37796"/>
    <w:rsid w:val="00C37A7F"/>
    <w:rsid w:val="00C41136"/>
    <w:rsid w:val="00C416C3"/>
    <w:rsid w:val="00C42D6E"/>
    <w:rsid w:val="00C43642"/>
    <w:rsid w:val="00C44327"/>
    <w:rsid w:val="00C45F14"/>
    <w:rsid w:val="00C53FEF"/>
    <w:rsid w:val="00C54591"/>
    <w:rsid w:val="00C548D3"/>
    <w:rsid w:val="00C601BC"/>
    <w:rsid w:val="00C607F7"/>
    <w:rsid w:val="00C71D05"/>
    <w:rsid w:val="00C72FC6"/>
    <w:rsid w:val="00C75F0E"/>
    <w:rsid w:val="00C86B53"/>
    <w:rsid w:val="00C92AA5"/>
    <w:rsid w:val="00C96EFE"/>
    <w:rsid w:val="00CA1930"/>
    <w:rsid w:val="00CA2C94"/>
    <w:rsid w:val="00CA37EF"/>
    <w:rsid w:val="00CA6C8F"/>
    <w:rsid w:val="00CB0A46"/>
    <w:rsid w:val="00CB58BD"/>
    <w:rsid w:val="00CB765B"/>
    <w:rsid w:val="00CC7859"/>
    <w:rsid w:val="00CC7D09"/>
    <w:rsid w:val="00CD0C6C"/>
    <w:rsid w:val="00CD0F06"/>
    <w:rsid w:val="00CD2AAB"/>
    <w:rsid w:val="00CD2DEC"/>
    <w:rsid w:val="00CD5B3B"/>
    <w:rsid w:val="00CD7897"/>
    <w:rsid w:val="00CE5F9D"/>
    <w:rsid w:val="00CF04A3"/>
    <w:rsid w:val="00CF368E"/>
    <w:rsid w:val="00CF398B"/>
    <w:rsid w:val="00D00589"/>
    <w:rsid w:val="00D04FF4"/>
    <w:rsid w:val="00D06E9C"/>
    <w:rsid w:val="00D07170"/>
    <w:rsid w:val="00D27E34"/>
    <w:rsid w:val="00D31752"/>
    <w:rsid w:val="00D3687B"/>
    <w:rsid w:val="00D46D64"/>
    <w:rsid w:val="00D51669"/>
    <w:rsid w:val="00D529EE"/>
    <w:rsid w:val="00D52B72"/>
    <w:rsid w:val="00D55C3C"/>
    <w:rsid w:val="00D618F6"/>
    <w:rsid w:val="00D65E76"/>
    <w:rsid w:val="00D67DC0"/>
    <w:rsid w:val="00D730D6"/>
    <w:rsid w:val="00D75548"/>
    <w:rsid w:val="00D76AAE"/>
    <w:rsid w:val="00D76C4E"/>
    <w:rsid w:val="00D8183E"/>
    <w:rsid w:val="00D86F1D"/>
    <w:rsid w:val="00D8723F"/>
    <w:rsid w:val="00D90CB6"/>
    <w:rsid w:val="00D92637"/>
    <w:rsid w:val="00D951DC"/>
    <w:rsid w:val="00D95D97"/>
    <w:rsid w:val="00D9622E"/>
    <w:rsid w:val="00D96F42"/>
    <w:rsid w:val="00D97E8C"/>
    <w:rsid w:val="00DA2198"/>
    <w:rsid w:val="00DA6613"/>
    <w:rsid w:val="00DB060C"/>
    <w:rsid w:val="00DC7BCD"/>
    <w:rsid w:val="00DD478F"/>
    <w:rsid w:val="00DE3E86"/>
    <w:rsid w:val="00DE5ADE"/>
    <w:rsid w:val="00DF61C3"/>
    <w:rsid w:val="00E11687"/>
    <w:rsid w:val="00E260DE"/>
    <w:rsid w:val="00E273F5"/>
    <w:rsid w:val="00E40F07"/>
    <w:rsid w:val="00E45E67"/>
    <w:rsid w:val="00E464F8"/>
    <w:rsid w:val="00E562FC"/>
    <w:rsid w:val="00E56667"/>
    <w:rsid w:val="00E62F7D"/>
    <w:rsid w:val="00E66C24"/>
    <w:rsid w:val="00E71CE5"/>
    <w:rsid w:val="00E750DA"/>
    <w:rsid w:val="00E7549F"/>
    <w:rsid w:val="00E76760"/>
    <w:rsid w:val="00E80D5E"/>
    <w:rsid w:val="00E85935"/>
    <w:rsid w:val="00E91171"/>
    <w:rsid w:val="00EA0F6C"/>
    <w:rsid w:val="00EA3673"/>
    <w:rsid w:val="00EB0659"/>
    <w:rsid w:val="00EB5552"/>
    <w:rsid w:val="00EB5ED7"/>
    <w:rsid w:val="00EB710B"/>
    <w:rsid w:val="00EC34D7"/>
    <w:rsid w:val="00EC3CBE"/>
    <w:rsid w:val="00EC6C09"/>
    <w:rsid w:val="00ED356C"/>
    <w:rsid w:val="00ED4432"/>
    <w:rsid w:val="00ED4C28"/>
    <w:rsid w:val="00ED56C3"/>
    <w:rsid w:val="00EE16AD"/>
    <w:rsid w:val="00EE32F2"/>
    <w:rsid w:val="00EE770E"/>
    <w:rsid w:val="00EF14DA"/>
    <w:rsid w:val="00EF1EE5"/>
    <w:rsid w:val="00EF34BB"/>
    <w:rsid w:val="00F02A3E"/>
    <w:rsid w:val="00F04A53"/>
    <w:rsid w:val="00F11D00"/>
    <w:rsid w:val="00F1408E"/>
    <w:rsid w:val="00F22A6E"/>
    <w:rsid w:val="00F3453C"/>
    <w:rsid w:val="00F37A37"/>
    <w:rsid w:val="00F41726"/>
    <w:rsid w:val="00F41CDB"/>
    <w:rsid w:val="00F44057"/>
    <w:rsid w:val="00F47AD0"/>
    <w:rsid w:val="00F52CCF"/>
    <w:rsid w:val="00F543B6"/>
    <w:rsid w:val="00F56471"/>
    <w:rsid w:val="00F57BA1"/>
    <w:rsid w:val="00F62ED1"/>
    <w:rsid w:val="00F63804"/>
    <w:rsid w:val="00F67D20"/>
    <w:rsid w:val="00F76E39"/>
    <w:rsid w:val="00F779B2"/>
    <w:rsid w:val="00F80A14"/>
    <w:rsid w:val="00F851C6"/>
    <w:rsid w:val="00F86506"/>
    <w:rsid w:val="00F8745D"/>
    <w:rsid w:val="00F971DA"/>
    <w:rsid w:val="00FA30B2"/>
    <w:rsid w:val="00FA5D82"/>
    <w:rsid w:val="00FB19F4"/>
    <w:rsid w:val="00FB29B7"/>
    <w:rsid w:val="00FB3030"/>
    <w:rsid w:val="00FB34E1"/>
    <w:rsid w:val="00FB58CE"/>
    <w:rsid w:val="00FB6D27"/>
    <w:rsid w:val="00FC4284"/>
    <w:rsid w:val="00FC776D"/>
    <w:rsid w:val="00FC7B15"/>
    <w:rsid w:val="00FD7286"/>
    <w:rsid w:val="00FD7FB0"/>
    <w:rsid w:val="00FE1098"/>
    <w:rsid w:val="00FE2F2C"/>
    <w:rsid w:val="00FE368A"/>
    <w:rsid w:val="00FE3C33"/>
    <w:rsid w:val="00FF14D2"/>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2690-2F2A-4716-9F7C-5CBBD335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4</Pages>
  <Words>1365</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9</cp:revision>
  <cp:lastPrinted>2018-11-06T07:57:00Z</cp:lastPrinted>
  <dcterms:created xsi:type="dcterms:W3CDTF">2018-12-19T10:01:00Z</dcterms:created>
  <dcterms:modified xsi:type="dcterms:W3CDTF">2019-01-21T14:40:00Z</dcterms:modified>
</cp:coreProperties>
</file>